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7"/>
        <w:gridCol w:w="5377"/>
        <w:tblGridChange w:id="0">
          <w:tblGrid>
            <w:gridCol w:w="5377"/>
            <w:gridCol w:w="53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39178" cy="1039178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178" cy="10391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" w:cs="Rubik" w:eastAsia="Rubik" w:hAnsi="Rubik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52"/>
                <w:szCs w:val="52"/>
                <w:rtl w:val="0"/>
              </w:rPr>
              <w:t xml:space="preserve">JAMES H. WALTERS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 Light" w:cs="Rubik Light" w:eastAsia="Rubik Light" w:hAnsi="Rubik Light"/>
                <w:sz w:val="30"/>
                <w:szCs w:val="3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sz w:val="30"/>
                <w:szCs w:val="30"/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 Light" w:cs="Rubik Light" w:eastAsia="Rubik Light" w:hAnsi="Rubik Light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 Light" w:cs="Rubik Light" w:eastAsia="Rubik Light" w:hAnsi="Rubik Light"/>
                <w:sz w:val="30"/>
                <w:szCs w:val="3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sz w:val="30"/>
                <w:szCs w:val="30"/>
                <w:rtl w:val="0"/>
              </w:rPr>
              <w:t xml:space="preserve">⏹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yourname</w:t>
            </w:r>
            <w:r w:rsidDel="00000000" w:rsidR="00000000" w:rsidRPr="00000000">
              <w:rPr>
                <w:rFonts w:ascii="Rubik" w:cs="Rubik" w:eastAsia="Rubik" w:hAnsi="Rubik"/>
                <w:sz w:val="23"/>
                <w:szCs w:val="23"/>
                <w:rtl w:val="0"/>
              </w:rPr>
              <w:t xml:space="preserve">@example.com     |     (123) 456-7890     |     Chicago, IL    |     linkedin.com/in/yourname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Certified Public Accountant with more than 12 years of experience in financial reporting, auditing, and strategic planning. Skilled in analyzing financial data, implementing cost-saving strategies, and delivering accurate reports under strict deadlines. Notable achievement includes saving Horizon Manufacturing $310,000 by correcting an expense allocation error.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AREAS OF EXPERTISE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6775704" cy="1251327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79975" y="413450"/>
                                <a:ext cx="6775704" cy="1251327"/>
                                <a:chOff x="179975" y="413450"/>
                                <a:chExt cx="6952750" cy="1278500"/>
                              </a:xfrm>
                            </wpg:grpSpPr>
                            <wps:wsp>
                              <wps:cNvSpPr txBox="1"/>
                              <wps:cNvPr id="17" name="Shape 17"/>
                              <wps:spPr>
                                <a:xfrm>
                                  <a:off x="184750" y="418225"/>
                                  <a:ext cx="23346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FINANCIAL REPORTING &amp; ANALYSIS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8" name="Shape 18"/>
                              <wps:spPr>
                                <a:xfrm>
                                  <a:off x="2641300" y="418225"/>
                                  <a:ext cx="20709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BUDGETING &amp; FORECASTING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9" name="Shape 19"/>
                              <wps:spPr>
                                <a:xfrm>
                                  <a:off x="4834150" y="418225"/>
                                  <a:ext cx="22938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PAYROLL &amp; ACCOUNTS PAYABLE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0" name="Shape 20"/>
                              <wps:spPr>
                                <a:xfrm>
                                  <a:off x="184750" y="885150"/>
                                  <a:ext cx="23346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COST OPTIMIZATION STRATEGIES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1" name="Shape 21"/>
                              <wps:spPr>
                                <a:xfrm>
                                  <a:off x="2641300" y="885150"/>
                                  <a:ext cx="20709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TAX COMPLIANCE &amp; PLANNING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2" name="Shape 22"/>
                              <wps:spPr>
                                <a:xfrm>
                                  <a:off x="4834150" y="885150"/>
                                  <a:ext cx="18879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CORPORATE ACCOUNTING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3" name="Shape 23"/>
                              <wps:spPr>
                                <a:xfrm>
                                  <a:off x="184750" y="1352075"/>
                                  <a:ext cx="23346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FINANCE PROCESS AUTOMATION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4" name="Shape 24"/>
                              <wps:spPr>
                                <a:xfrm>
                                  <a:off x="2641300" y="1352075"/>
                                  <a:ext cx="2385600" cy="3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STRATEGIC FINANCIAL LEADERSHIP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775704" cy="1251327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5704" cy="12513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Brightline Software Solutions | Chicago, IL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03/2019 – Present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Lead financial reporting to ensure compliance with corporate policies and government regulations.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Prepare quarterly and annual financial statements with 100% accuracy.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Implemented process improvements that reduced month-end closing time by 25%.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Manage cross-department budget reviews and provide variance analysis. Conduct internal audits.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ACCOUNTANT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Horizon Manufacturing Group | Milwaukee, WI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04/2014 – 02/2019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Saved $310,000 by correcting a major expense allocation error.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Conducted monthly reconciliations of accounts payable and receivable. Improved efficiency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of Excel models.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Monitored internal controls and ensured compliance with Sarbanes-Oxley standards.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Supported external audit process by preparing schedules and documentation.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JUNIOR ACCOUNTANT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Evergreen Financial Services | Madison, WI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01/2010 – 03/2014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Maintained accurate financial records ensuring compliance with corporate reporting standards.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Supported successful implementation of new accounting software (SAP) across several departments.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Prepared detailed reports on client accounts for senior management review and decision-making.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Assisted with monthly closings, account reconciliations, and payroll processing for multiple business units.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"/>
          <w:szCs w:val="4"/>
        </w:rPr>
      </w:pPr>
      <w:r w:rsidDel="00000000" w:rsidR="00000000" w:rsidRPr="00000000">
        <w:rPr>
          <w:sz w:val="4"/>
          <w:szCs w:val="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5584515</wp:posOffset>
                </wp:positionH>
                <wp:positionV relativeFrom="page">
                  <wp:posOffset>6251246</wp:posOffset>
                </wp:positionV>
                <wp:extent cx="717176" cy="4572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9700" y="522450"/>
                          <a:ext cx="717176" cy="457200"/>
                          <a:chOff x="1229700" y="522450"/>
                          <a:chExt cx="883975" cy="5532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229700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423619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17538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811456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005375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229700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23619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617538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811456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229700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423619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17538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005356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1811463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5584515</wp:posOffset>
                </wp:positionH>
                <wp:positionV relativeFrom="page">
                  <wp:posOffset>6251246</wp:posOffset>
                </wp:positionV>
                <wp:extent cx="717176" cy="4572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176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4"/>
          <w:szCs w:val="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3604260</wp:posOffset>
                </wp:positionH>
                <wp:positionV relativeFrom="page">
                  <wp:posOffset>6241721</wp:posOffset>
                </wp:positionV>
                <wp:extent cx="717176" cy="4572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9700" y="522450"/>
                          <a:ext cx="717176" cy="457200"/>
                          <a:chOff x="1229700" y="522450"/>
                          <a:chExt cx="883975" cy="5532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229700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423619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17538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811456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005375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229700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23619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617538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811456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229700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423619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17538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005356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3604260</wp:posOffset>
                </wp:positionH>
                <wp:positionV relativeFrom="page">
                  <wp:posOffset>6241721</wp:posOffset>
                </wp:positionV>
                <wp:extent cx="717176" cy="457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176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4"/>
          <w:szCs w:val="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1584960</wp:posOffset>
                </wp:positionH>
                <wp:positionV relativeFrom="page">
                  <wp:posOffset>6251246</wp:posOffset>
                </wp:positionV>
                <wp:extent cx="717176" cy="4572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9700" y="522450"/>
                          <a:ext cx="717176" cy="457200"/>
                          <a:chOff x="1229700" y="522450"/>
                          <a:chExt cx="883975" cy="5532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229700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423619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17538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811456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005375" y="5224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229700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23619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617538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811456" y="74490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229700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423619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17538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1811456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2005375" y="967350"/>
                            <a:ext cx="108300" cy="10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1584960</wp:posOffset>
                </wp:positionH>
                <wp:positionV relativeFrom="page">
                  <wp:posOffset>6251246</wp:posOffset>
                </wp:positionV>
                <wp:extent cx="717176" cy="4572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176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3150"/>
        <w:gridCol w:w="2130"/>
        <w:gridCol w:w="1770"/>
        <w:tblGridChange w:id="0">
          <w:tblGrid>
            <w:gridCol w:w="3705"/>
            <w:gridCol w:w="3150"/>
            <w:gridCol w:w="2130"/>
            <w:gridCol w:w="177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MBA in Finance &amp; Strategic Management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University of Illinois, Urbana-Champaign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2016 – 2018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ubik" w:cs="Rubik" w:eastAsia="Rubik" w:hAnsi="Rubi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Bachelor of Science in Accounting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DePaul University, Chicago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720" w:hanging="36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2006 – 2009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TRAINING &amp; CERTIFICATIONS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Certified Public Accountant (CPA)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Chartered Financial Analyst (CFA Level II Candidate)</w:t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Certified Management Accountant (CMA)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Lean Six Sigma Green Belt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ACHIEVEMENTS</w:t>
            </w:r>
          </w:p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Keynote Speaker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| Midwest Accountants Conference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Presented on “Future of Digital Finance Transformation” to 700+ participants. </w:t>
            </w:r>
          </w:p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left="720" w:hanging="36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 2021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0"/>
                <w:szCs w:val="20"/>
                <w:rtl w:val="0"/>
              </w:rPr>
              <w:t xml:space="preserve">Guest Lecturer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| University of Illinois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Delivered lectures on advanced accounting systems and compliance.</w:t>
            </w:r>
          </w:p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65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PROFESSIONAL MEMBERSHIPS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Member, American Institute of CPAs (AICPA)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ubik" w:cs="Rubik" w:eastAsia="Rubik" w:hAnsi="Rubik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Member, Association for Financial Professionals</w:t>
            </w:r>
          </w:p>
          <w:p w:rsidR="00000000" w:rsidDel="00000000" w:rsidP="00000000" w:rsidRDefault="00000000" w:rsidRPr="00000000" w14:paraId="00000073">
            <w:pPr>
              <w:widowControl w:val="0"/>
              <w:ind w:lef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2010 – Present</w:t>
            </w:r>
          </w:p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2015 – Present</w:t>
            </w:r>
          </w:p>
        </w:tc>
      </w:tr>
      <w:tr>
        <w:trPr>
          <w:cantSplit w:val="0"/>
          <w:trHeight w:val="857.16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ind w:lef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7A">
            <w:pPr>
              <w:widowControl w:val="0"/>
              <w:ind w:lef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QuickBooks </w:t>
            </w:r>
          </w:p>
          <w:p w:rsidR="00000000" w:rsidDel="00000000" w:rsidP="00000000" w:rsidRDefault="00000000" w:rsidRPr="00000000" w14:paraId="0000007F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MS Office Suite </w:t>
            </w:r>
          </w:p>
          <w:p w:rsidR="00000000" w:rsidDel="00000000" w:rsidP="00000000" w:rsidRDefault="00000000" w:rsidRPr="00000000" w14:paraId="00000080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SAP, Oracle ERP</w:t>
            </w:r>
          </w:p>
          <w:p w:rsidR="00000000" w:rsidDel="00000000" w:rsidP="00000000" w:rsidRDefault="00000000" w:rsidRPr="00000000" w14:paraId="00000081">
            <w:pPr>
              <w:widowControl w:val="0"/>
              <w:ind w:lef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SQL 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IBM Cognos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Hyperion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Tableau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Power BI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0" w:line="276" w:lineRule="auto"/>
              <w:ind w:lef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Tax Software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8B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English – Native</w:t>
            </w:r>
          </w:p>
          <w:p w:rsidR="00000000" w:rsidDel="00000000" w:rsidP="00000000" w:rsidRDefault="00000000" w:rsidRPr="00000000" w14:paraId="00000090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German – Professional Working Proficiency</w:t>
            </w:r>
          </w:p>
          <w:p w:rsidR="00000000" w:rsidDel="00000000" w:rsidP="00000000" w:rsidRDefault="00000000" w:rsidRPr="00000000" w14:paraId="00000091">
            <w:pPr>
              <w:widowControl w:val="0"/>
              <w:ind w:left="0" w:firstLine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Spanish – Intermediate</w:t>
            </w:r>
          </w:p>
          <w:p w:rsidR="00000000" w:rsidDel="00000000" w:rsidP="00000000" w:rsidRDefault="00000000" w:rsidRPr="00000000" w14:paraId="00000092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ind w:lef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ind w:left="0" w:firstLine="0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0"/>
              </w:rPr>
              <w:t xml:space="preserve">PROFESSIONAL HIGHLIGHTS</w:t>
            </w:r>
          </w:p>
          <w:p w:rsidR="00000000" w:rsidDel="00000000" w:rsidP="00000000" w:rsidRDefault="00000000" w:rsidRPr="00000000" w14:paraId="00000098">
            <w:pPr>
              <w:widowControl w:val="0"/>
              <w:ind w:left="0" w:firstLine="0"/>
              <w:rPr>
                <w:rFonts w:ascii="Rubik" w:cs="Rubik" w:eastAsia="Rubik" w:hAnsi="Rubi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Known for strong attention to detail, problem-solving skills, and a proactive approach to financial management. Experienced in mentoring junior accountants and collaborating with cross-functional teams to achieve organizational goals. Continuously seeking opportunities to improve processes through technology and innovation while maintaining the highest ethical standards in financial reporting.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